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654" w:type="dxa"/>
        <w:tblLayout w:type="fixed"/>
        <w:tblLook w:val="04A0" w:firstRow="1" w:lastRow="0" w:firstColumn="1" w:lastColumn="0" w:noHBand="0" w:noVBand="1"/>
      </w:tblPr>
      <w:tblGrid>
        <w:gridCol w:w="9654"/>
      </w:tblGrid>
      <w:tr w:rsidR="000301DC" w:rsidRPr="00375776" w14:paraId="01F43293" w14:textId="77777777" w:rsidTr="0044018D">
        <w:trPr>
          <w:trHeight w:val="824"/>
        </w:trPr>
        <w:tc>
          <w:tcPr>
            <w:tcW w:w="9654" w:type="dxa"/>
          </w:tcPr>
          <w:p w14:paraId="573AB30F" w14:textId="77777777" w:rsidR="000301DC" w:rsidRPr="00375776" w:rsidRDefault="000301DC" w:rsidP="0044018D">
            <w:pPr>
              <w:spacing w:after="0" w:line="240" w:lineRule="auto"/>
              <w:jc w:val="center"/>
              <w:rPr>
                <w:rFonts w:ascii="Arial" w:eastAsia="Times New Roman" w:hAnsi="Arial" w:cs="Arial"/>
                <w:b/>
                <w:kern w:val="0"/>
                <w:sz w:val="24"/>
                <w:szCs w:val="24"/>
                <w:lang w:eastAsia="lt-LT"/>
                <w14:ligatures w14:val="none"/>
              </w:rPr>
            </w:pPr>
            <w:r w:rsidRPr="00375776">
              <w:rPr>
                <w:rFonts w:ascii="Arial" w:eastAsia="Times New Roman" w:hAnsi="Arial" w:cs="Arial"/>
                <w:b/>
                <w:noProof/>
                <w:kern w:val="0"/>
                <w:sz w:val="24"/>
                <w:szCs w:val="24"/>
                <w:lang w:eastAsia="lt-LT"/>
              </w:rPr>
              <w:drawing>
                <wp:inline distT="0" distB="0" distL="0" distR="0" wp14:anchorId="54D07805" wp14:editId="5C9936E6">
                  <wp:extent cx="476250" cy="523875"/>
                  <wp:effectExtent l="0" t="0" r="0" b="9525"/>
                  <wp:docPr id="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76250" cy="523875"/>
                          </a:xfrm>
                          <a:prstGeom prst="rect">
                            <a:avLst/>
                          </a:prstGeom>
                          <a:noFill/>
                          <a:ln>
                            <a:noFill/>
                          </a:ln>
                        </pic:spPr>
                      </pic:pic>
                    </a:graphicData>
                  </a:graphic>
                </wp:inline>
              </w:drawing>
            </w:r>
          </w:p>
        </w:tc>
      </w:tr>
      <w:tr w:rsidR="000301DC" w:rsidRPr="00375776" w14:paraId="3EAB764D" w14:textId="77777777" w:rsidTr="0044018D">
        <w:trPr>
          <w:trHeight w:val="289"/>
        </w:trPr>
        <w:tc>
          <w:tcPr>
            <w:tcW w:w="9654" w:type="dxa"/>
          </w:tcPr>
          <w:p w14:paraId="1044E901" w14:textId="77777777" w:rsidR="000301DC" w:rsidRPr="00375776" w:rsidRDefault="000301DC" w:rsidP="0044018D">
            <w:pPr>
              <w:spacing w:after="0" w:line="240" w:lineRule="auto"/>
              <w:jc w:val="center"/>
              <w:rPr>
                <w:rFonts w:ascii="Arial" w:eastAsia="Times New Roman" w:hAnsi="Arial" w:cs="Arial"/>
                <w:kern w:val="0"/>
                <w:sz w:val="24"/>
                <w:szCs w:val="24"/>
                <w:lang w:eastAsia="lt-LT"/>
                <w14:ligatures w14:val="none"/>
              </w:rPr>
            </w:pPr>
          </w:p>
        </w:tc>
      </w:tr>
      <w:tr w:rsidR="000301DC" w:rsidRPr="00375776" w14:paraId="64A02F71" w14:textId="77777777" w:rsidTr="0044018D">
        <w:trPr>
          <w:trHeight w:val="278"/>
        </w:trPr>
        <w:tc>
          <w:tcPr>
            <w:tcW w:w="9654" w:type="dxa"/>
            <w:hideMark/>
          </w:tcPr>
          <w:p w14:paraId="52E63586" w14:textId="77777777" w:rsidR="000301DC" w:rsidRPr="00375776" w:rsidRDefault="000301DC" w:rsidP="0044018D">
            <w:pPr>
              <w:keepNext/>
              <w:spacing w:after="0" w:line="240" w:lineRule="auto"/>
              <w:jc w:val="center"/>
              <w:outlineLvl w:val="1"/>
              <w:rPr>
                <w:rFonts w:ascii="Arial" w:eastAsia="Times New Roman" w:hAnsi="Arial" w:cs="Arial"/>
                <w:b/>
                <w:kern w:val="0"/>
                <w:sz w:val="24"/>
                <w:szCs w:val="24"/>
                <w:lang w:eastAsia="lt-LT"/>
                <w14:ligatures w14:val="none"/>
              </w:rPr>
            </w:pPr>
            <w:r w:rsidRPr="00375776">
              <w:rPr>
                <w:rFonts w:ascii="Arial" w:eastAsia="Times New Roman" w:hAnsi="Arial" w:cs="Arial"/>
                <w:b/>
                <w:kern w:val="0"/>
                <w:sz w:val="24"/>
                <w:szCs w:val="24"/>
                <w:lang w:eastAsia="lt-LT"/>
                <w14:ligatures w14:val="none"/>
              </w:rPr>
              <w:t>ALYTAUS MIESTO SAVIVALDYBĖS ADMINISTRACIJOS</w:t>
            </w:r>
          </w:p>
        </w:tc>
      </w:tr>
      <w:tr w:rsidR="000301DC" w:rsidRPr="00375776" w14:paraId="39A3A369" w14:textId="77777777" w:rsidTr="0044018D">
        <w:trPr>
          <w:trHeight w:val="278"/>
        </w:trPr>
        <w:tc>
          <w:tcPr>
            <w:tcW w:w="9654" w:type="dxa"/>
            <w:hideMark/>
          </w:tcPr>
          <w:p w14:paraId="7048F31D" w14:textId="77777777" w:rsidR="000301DC" w:rsidRPr="00375776" w:rsidRDefault="000301DC" w:rsidP="0044018D">
            <w:pPr>
              <w:keepNext/>
              <w:spacing w:after="0" w:line="240" w:lineRule="auto"/>
              <w:jc w:val="center"/>
              <w:outlineLvl w:val="1"/>
              <w:rPr>
                <w:rFonts w:ascii="Arial" w:eastAsia="Times New Roman" w:hAnsi="Arial" w:cs="Arial"/>
                <w:b/>
                <w:kern w:val="0"/>
                <w:sz w:val="24"/>
                <w:szCs w:val="24"/>
                <w:lang w:eastAsia="lt-LT"/>
                <w14:ligatures w14:val="none"/>
              </w:rPr>
            </w:pPr>
            <w:r w:rsidRPr="00375776">
              <w:rPr>
                <w:rFonts w:ascii="Arial" w:eastAsia="Times New Roman" w:hAnsi="Arial" w:cs="Arial"/>
                <w:b/>
                <w:kern w:val="0"/>
                <w:sz w:val="24"/>
                <w:szCs w:val="24"/>
                <w:lang w:eastAsia="lt-LT"/>
                <w14:ligatures w14:val="none"/>
              </w:rPr>
              <w:t>VIEŠŲJŲ PIRKIMŲ SKYRIUS</w:t>
            </w:r>
          </w:p>
        </w:tc>
      </w:tr>
      <w:tr w:rsidR="000301DC" w:rsidRPr="00375776" w14:paraId="5EB8C5E9" w14:textId="77777777" w:rsidTr="0044018D">
        <w:trPr>
          <w:trHeight w:val="289"/>
        </w:trPr>
        <w:tc>
          <w:tcPr>
            <w:tcW w:w="9654" w:type="dxa"/>
          </w:tcPr>
          <w:p w14:paraId="55C0C0FE" w14:textId="77777777" w:rsidR="000301DC" w:rsidRPr="00375776" w:rsidRDefault="000301DC" w:rsidP="0044018D">
            <w:pPr>
              <w:keepNext/>
              <w:tabs>
                <w:tab w:val="left" w:pos="7122"/>
              </w:tabs>
              <w:spacing w:after="0" w:line="240" w:lineRule="auto"/>
              <w:jc w:val="center"/>
              <w:outlineLvl w:val="1"/>
              <w:rPr>
                <w:rFonts w:ascii="Arial" w:eastAsia="Times New Roman" w:hAnsi="Arial" w:cs="Arial"/>
                <w:b/>
                <w:kern w:val="0"/>
                <w:sz w:val="24"/>
                <w:szCs w:val="24"/>
                <w:lang w:eastAsia="lt-LT"/>
                <w14:ligatures w14:val="none"/>
              </w:rPr>
            </w:pPr>
          </w:p>
        </w:tc>
      </w:tr>
      <w:tr w:rsidR="000301DC" w:rsidRPr="00375776" w14:paraId="66C0F945" w14:textId="77777777" w:rsidTr="0044018D">
        <w:trPr>
          <w:trHeight w:val="703"/>
        </w:trPr>
        <w:tc>
          <w:tcPr>
            <w:tcW w:w="9654" w:type="dxa"/>
            <w:tcBorders>
              <w:top w:val="nil"/>
              <w:left w:val="nil"/>
              <w:bottom w:val="single" w:sz="6" w:space="0" w:color="auto"/>
              <w:right w:val="nil"/>
            </w:tcBorders>
            <w:hideMark/>
          </w:tcPr>
          <w:p w14:paraId="718D5C39" w14:textId="77777777" w:rsidR="000301DC" w:rsidRPr="005915B0" w:rsidRDefault="000301DC" w:rsidP="0044018D">
            <w:pPr>
              <w:spacing w:after="0" w:line="240" w:lineRule="auto"/>
              <w:jc w:val="center"/>
              <w:rPr>
                <w:rFonts w:ascii="Arial" w:eastAsia="Times New Roman" w:hAnsi="Arial" w:cs="Arial"/>
                <w:kern w:val="0"/>
                <w:sz w:val="20"/>
                <w:szCs w:val="20"/>
                <w:lang w:eastAsia="lt-LT"/>
                <w14:ligatures w14:val="none"/>
              </w:rPr>
            </w:pPr>
            <w:r w:rsidRPr="005915B0">
              <w:rPr>
                <w:rFonts w:ascii="Arial" w:eastAsia="Times New Roman" w:hAnsi="Arial" w:cs="Arial"/>
                <w:kern w:val="0"/>
                <w:sz w:val="20"/>
                <w:szCs w:val="20"/>
                <w:lang w:eastAsia="lt-LT"/>
                <w14:ligatures w14:val="none"/>
              </w:rPr>
              <w:t xml:space="preserve">Biudžetinė įstaiga, Rotušės a. 4, LT-62504 Alytus, tel. (8 315) 55 127, faks. (8 315) 55 191, </w:t>
            </w:r>
          </w:p>
          <w:p w14:paraId="5717FC14" w14:textId="77777777" w:rsidR="000301DC" w:rsidRPr="005915B0" w:rsidRDefault="000301DC" w:rsidP="0044018D">
            <w:pPr>
              <w:spacing w:after="0" w:line="240" w:lineRule="auto"/>
              <w:jc w:val="center"/>
              <w:rPr>
                <w:rFonts w:ascii="Arial" w:eastAsia="Times New Roman" w:hAnsi="Arial" w:cs="Arial"/>
                <w:kern w:val="0"/>
                <w:sz w:val="20"/>
                <w:szCs w:val="20"/>
                <w:lang w:eastAsia="lt-LT"/>
                <w14:ligatures w14:val="none"/>
              </w:rPr>
            </w:pPr>
            <w:r w:rsidRPr="005915B0">
              <w:rPr>
                <w:rFonts w:ascii="Arial" w:eastAsia="Times New Roman" w:hAnsi="Arial" w:cs="Arial"/>
                <w:kern w:val="0"/>
                <w:sz w:val="20"/>
                <w:szCs w:val="20"/>
                <w:lang w:eastAsia="lt-LT"/>
                <w14:ligatures w14:val="none"/>
              </w:rPr>
              <w:t xml:space="preserve">el. p. </w:t>
            </w:r>
            <w:proofErr w:type="spellStart"/>
            <w:r w:rsidRPr="005915B0">
              <w:rPr>
                <w:rFonts w:ascii="Arial" w:eastAsia="Times New Roman" w:hAnsi="Arial" w:cs="Arial"/>
                <w:kern w:val="0"/>
                <w:sz w:val="20"/>
                <w:szCs w:val="20"/>
                <w:lang w:eastAsia="lt-LT"/>
                <w14:ligatures w14:val="none"/>
              </w:rPr>
              <w:t>viesieji_pirkimai@alytus.lt</w:t>
            </w:r>
            <w:proofErr w:type="spellEnd"/>
            <w:r w:rsidRPr="005915B0">
              <w:rPr>
                <w:rFonts w:ascii="Arial" w:eastAsia="Times New Roman" w:hAnsi="Arial" w:cs="Arial"/>
                <w:kern w:val="0"/>
                <w:sz w:val="20"/>
                <w:szCs w:val="20"/>
                <w:lang w:eastAsia="lt-LT"/>
                <w14:ligatures w14:val="none"/>
              </w:rPr>
              <w:t xml:space="preserve">. </w:t>
            </w:r>
          </w:p>
          <w:p w14:paraId="4E2E7164" w14:textId="77777777" w:rsidR="000301DC" w:rsidRPr="005915B0" w:rsidRDefault="000301DC" w:rsidP="0044018D">
            <w:pPr>
              <w:spacing w:after="0" w:line="240" w:lineRule="auto"/>
              <w:jc w:val="center"/>
              <w:rPr>
                <w:rFonts w:ascii="Arial" w:eastAsia="Times New Roman" w:hAnsi="Arial" w:cs="Arial"/>
                <w:kern w:val="0"/>
                <w:sz w:val="20"/>
                <w:szCs w:val="20"/>
                <w:lang w:eastAsia="lt-LT"/>
                <w14:ligatures w14:val="none"/>
              </w:rPr>
            </w:pPr>
            <w:r w:rsidRPr="005915B0">
              <w:rPr>
                <w:rFonts w:ascii="Arial" w:eastAsia="Times New Roman" w:hAnsi="Arial" w:cs="Arial"/>
                <w:kern w:val="0"/>
                <w:sz w:val="20"/>
                <w:szCs w:val="20"/>
                <w:lang w:eastAsia="lt-LT"/>
                <w14:ligatures w14:val="none"/>
              </w:rPr>
              <w:t>Duomenys kaupiami ir saugomi Juridinių asmenų registre, kodas 188706935</w:t>
            </w:r>
          </w:p>
        </w:tc>
      </w:tr>
    </w:tbl>
    <w:p w14:paraId="1427B425" w14:textId="77777777" w:rsidR="000301DC" w:rsidRPr="00375776" w:rsidRDefault="000301DC" w:rsidP="000301DC">
      <w:pPr>
        <w:spacing w:after="0" w:line="240" w:lineRule="auto"/>
        <w:jc w:val="center"/>
        <w:rPr>
          <w:rFonts w:ascii="Arial" w:eastAsia="Times New Roman" w:hAnsi="Arial" w:cs="Arial"/>
          <w:kern w:val="0"/>
          <w:sz w:val="24"/>
          <w:szCs w:val="24"/>
          <w:lang w:eastAsia="lt-LT"/>
          <w14:ligatures w14:val="none"/>
        </w:rPr>
      </w:pPr>
    </w:p>
    <w:tbl>
      <w:tblPr>
        <w:tblW w:w="9673" w:type="dxa"/>
        <w:tblInd w:w="108" w:type="dxa"/>
        <w:tblLayout w:type="fixed"/>
        <w:tblLook w:val="04A0" w:firstRow="1" w:lastRow="0" w:firstColumn="1" w:lastColumn="0" w:noHBand="0" w:noVBand="1"/>
      </w:tblPr>
      <w:tblGrid>
        <w:gridCol w:w="2160"/>
        <w:gridCol w:w="2585"/>
        <w:gridCol w:w="1986"/>
        <w:gridCol w:w="2519"/>
        <w:gridCol w:w="423"/>
      </w:tblGrid>
      <w:tr w:rsidR="000301DC" w:rsidRPr="00375776" w14:paraId="64D2F136" w14:textId="77777777" w:rsidTr="0044018D">
        <w:trPr>
          <w:gridAfter w:val="1"/>
          <w:wAfter w:w="423" w:type="dxa"/>
          <w:cantSplit/>
        </w:trPr>
        <w:tc>
          <w:tcPr>
            <w:tcW w:w="2160" w:type="dxa"/>
            <w:hideMark/>
          </w:tcPr>
          <w:p w14:paraId="5236AE61" w14:textId="77777777" w:rsidR="000301DC" w:rsidRPr="00375776" w:rsidRDefault="000301DC" w:rsidP="0044018D">
            <w:pPr>
              <w:spacing w:after="0" w:line="240" w:lineRule="auto"/>
              <w:ind w:left="-113" w:right="-113"/>
              <w:rPr>
                <w:rFonts w:ascii="Arial" w:eastAsia="Times New Roman" w:hAnsi="Arial" w:cs="Arial"/>
                <w:kern w:val="0"/>
                <w:sz w:val="24"/>
                <w:szCs w:val="24"/>
                <w:lang w:eastAsia="lt-LT"/>
                <w14:ligatures w14:val="none"/>
              </w:rPr>
            </w:pPr>
            <w:r w:rsidRPr="00375776">
              <w:rPr>
                <w:rFonts w:ascii="Arial" w:eastAsia="Times New Roman" w:hAnsi="Arial" w:cs="Arial"/>
                <w:kern w:val="0"/>
                <w:sz w:val="24"/>
                <w:szCs w:val="24"/>
                <w:lang w:eastAsia="lt-LT"/>
                <w14:ligatures w14:val="none"/>
              </w:rPr>
              <w:t>Tiekėjams</w:t>
            </w:r>
          </w:p>
        </w:tc>
        <w:tc>
          <w:tcPr>
            <w:tcW w:w="4571" w:type="dxa"/>
            <w:gridSpan w:val="2"/>
          </w:tcPr>
          <w:p w14:paraId="16CCAF42" w14:textId="77777777" w:rsidR="000301DC" w:rsidRPr="00375776" w:rsidRDefault="000301DC" w:rsidP="0044018D">
            <w:pPr>
              <w:spacing w:after="0" w:line="240" w:lineRule="auto"/>
              <w:rPr>
                <w:rFonts w:ascii="Arial" w:eastAsia="Times New Roman" w:hAnsi="Arial" w:cs="Arial"/>
                <w:kern w:val="0"/>
                <w:sz w:val="24"/>
                <w:szCs w:val="24"/>
                <w:lang w:eastAsia="lt-LT"/>
                <w14:ligatures w14:val="none"/>
              </w:rPr>
            </w:pPr>
          </w:p>
        </w:tc>
        <w:tc>
          <w:tcPr>
            <w:tcW w:w="2519" w:type="dxa"/>
            <w:hideMark/>
          </w:tcPr>
          <w:p w14:paraId="456C3FA8" w14:textId="501397ED" w:rsidR="000301DC" w:rsidRPr="00375776" w:rsidRDefault="000301DC" w:rsidP="0044018D">
            <w:pPr>
              <w:spacing w:after="0" w:line="240" w:lineRule="auto"/>
              <w:ind w:left="-113"/>
              <w:rPr>
                <w:rFonts w:ascii="Arial" w:eastAsia="Times New Roman" w:hAnsi="Arial" w:cs="Arial"/>
                <w:kern w:val="0"/>
                <w:sz w:val="24"/>
                <w:szCs w:val="24"/>
                <w:lang w:eastAsia="lt-LT"/>
                <w14:ligatures w14:val="none"/>
              </w:rPr>
            </w:pPr>
            <w:r w:rsidRPr="00375776">
              <w:rPr>
                <w:rFonts w:ascii="Arial" w:eastAsia="Times New Roman" w:hAnsi="Arial" w:cs="Arial"/>
                <w:kern w:val="0"/>
                <w:sz w:val="24"/>
                <w:szCs w:val="24"/>
                <w:lang w:eastAsia="lt-LT"/>
                <w14:ligatures w14:val="none"/>
              </w:rPr>
              <w:t>2025-</w:t>
            </w:r>
            <w:r w:rsidR="00C96ED7">
              <w:rPr>
                <w:rFonts w:ascii="Arial" w:eastAsia="Times New Roman" w:hAnsi="Arial" w:cs="Arial"/>
                <w:kern w:val="0"/>
                <w:sz w:val="24"/>
                <w:szCs w:val="24"/>
                <w:lang w:eastAsia="lt-LT"/>
                <w14:ligatures w14:val="none"/>
              </w:rPr>
              <w:t>12-11</w:t>
            </w:r>
          </w:p>
        </w:tc>
      </w:tr>
      <w:tr w:rsidR="000301DC" w:rsidRPr="00375776" w14:paraId="6415D948" w14:textId="77777777" w:rsidTr="0044018D">
        <w:trPr>
          <w:gridAfter w:val="1"/>
          <w:wAfter w:w="423" w:type="dxa"/>
          <w:cantSplit/>
        </w:trPr>
        <w:tc>
          <w:tcPr>
            <w:tcW w:w="2160" w:type="dxa"/>
          </w:tcPr>
          <w:p w14:paraId="0B7C9503" w14:textId="77777777" w:rsidR="000301DC" w:rsidRPr="00375776" w:rsidRDefault="000301DC" w:rsidP="0044018D">
            <w:pPr>
              <w:spacing w:after="0" w:line="240" w:lineRule="auto"/>
              <w:ind w:left="-113" w:right="-613"/>
              <w:rPr>
                <w:rFonts w:ascii="Arial" w:eastAsia="Times New Roman" w:hAnsi="Arial" w:cs="Arial"/>
                <w:kern w:val="0"/>
                <w:sz w:val="24"/>
                <w:szCs w:val="24"/>
                <w:lang w:eastAsia="lt-LT"/>
                <w14:ligatures w14:val="none"/>
              </w:rPr>
            </w:pPr>
          </w:p>
          <w:p w14:paraId="456D5940" w14:textId="77777777" w:rsidR="000301DC" w:rsidRPr="00375776" w:rsidRDefault="000301DC" w:rsidP="0044018D">
            <w:pPr>
              <w:spacing w:after="0" w:line="240" w:lineRule="auto"/>
              <w:ind w:left="-113" w:right="-613"/>
              <w:rPr>
                <w:rFonts w:ascii="Arial" w:eastAsia="Times New Roman" w:hAnsi="Arial" w:cs="Arial"/>
                <w:kern w:val="0"/>
                <w:sz w:val="24"/>
                <w:szCs w:val="24"/>
                <w:lang w:eastAsia="lt-LT"/>
                <w14:ligatures w14:val="none"/>
              </w:rPr>
            </w:pPr>
          </w:p>
        </w:tc>
        <w:tc>
          <w:tcPr>
            <w:tcW w:w="2585" w:type="dxa"/>
          </w:tcPr>
          <w:p w14:paraId="0F05B8D4" w14:textId="77777777" w:rsidR="000301DC" w:rsidRPr="00375776" w:rsidRDefault="000301DC" w:rsidP="0044018D">
            <w:pPr>
              <w:spacing w:after="0" w:line="240" w:lineRule="auto"/>
              <w:ind w:right="-613"/>
              <w:rPr>
                <w:rFonts w:ascii="Arial" w:eastAsia="Times New Roman" w:hAnsi="Arial" w:cs="Arial"/>
                <w:kern w:val="0"/>
                <w:sz w:val="24"/>
                <w:szCs w:val="24"/>
                <w:lang w:eastAsia="lt-LT"/>
                <w14:ligatures w14:val="none"/>
              </w:rPr>
            </w:pPr>
          </w:p>
        </w:tc>
        <w:tc>
          <w:tcPr>
            <w:tcW w:w="4505" w:type="dxa"/>
            <w:gridSpan w:val="2"/>
          </w:tcPr>
          <w:p w14:paraId="699068EA" w14:textId="77777777" w:rsidR="000301DC" w:rsidRPr="00375776" w:rsidRDefault="000301DC" w:rsidP="0044018D">
            <w:pPr>
              <w:spacing w:after="0" w:line="240" w:lineRule="auto"/>
              <w:ind w:left="1" w:right="-613" w:hanging="1"/>
              <w:rPr>
                <w:rFonts w:ascii="Arial" w:eastAsia="Times New Roman" w:hAnsi="Arial" w:cs="Arial"/>
                <w:kern w:val="0"/>
                <w:sz w:val="24"/>
                <w:szCs w:val="24"/>
                <w:lang w:eastAsia="lt-LT"/>
                <w14:ligatures w14:val="none"/>
              </w:rPr>
            </w:pPr>
          </w:p>
        </w:tc>
      </w:tr>
      <w:tr w:rsidR="000301DC" w:rsidRPr="00375776" w14:paraId="6F1AF9DB" w14:textId="77777777" w:rsidTr="0044018D">
        <w:trPr>
          <w:cantSplit/>
        </w:trPr>
        <w:tc>
          <w:tcPr>
            <w:tcW w:w="9673" w:type="dxa"/>
            <w:gridSpan w:val="5"/>
            <w:hideMark/>
          </w:tcPr>
          <w:p w14:paraId="353D9E29" w14:textId="2B5E3EFA" w:rsidR="000301DC" w:rsidRPr="00375776" w:rsidRDefault="000301DC" w:rsidP="0044018D">
            <w:pPr>
              <w:tabs>
                <w:tab w:val="left" w:pos="567"/>
                <w:tab w:val="left" w:pos="993"/>
                <w:tab w:val="left" w:pos="1843"/>
                <w:tab w:val="right" w:pos="9072"/>
              </w:tabs>
              <w:spacing w:after="0" w:line="240" w:lineRule="auto"/>
              <w:ind w:right="-613"/>
              <w:rPr>
                <w:rFonts w:ascii="Arial" w:eastAsia="Calibri" w:hAnsi="Arial" w:cs="Arial"/>
                <w:b/>
                <w:caps/>
                <w:sz w:val="24"/>
                <w:szCs w:val="24"/>
              </w:rPr>
            </w:pPr>
            <w:r w:rsidRPr="00375776">
              <w:rPr>
                <w:rFonts w:ascii="Arial" w:eastAsia="Calibri" w:hAnsi="Arial" w:cs="Arial"/>
                <w:b/>
                <w:caps/>
                <w:sz w:val="24"/>
                <w:szCs w:val="24"/>
              </w:rPr>
              <w:t>Dėl pranešimo nagrinėjimo</w:t>
            </w:r>
          </w:p>
          <w:p w14:paraId="17E9602A" w14:textId="77777777" w:rsidR="000301DC" w:rsidRPr="00375776" w:rsidRDefault="000301DC" w:rsidP="0044018D">
            <w:pPr>
              <w:tabs>
                <w:tab w:val="left" w:pos="567"/>
                <w:tab w:val="left" w:pos="993"/>
                <w:tab w:val="left" w:pos="1843"/>
                <w:tab w:val="right" w:pos="9072"/>
              </w:tabs>
              <w:spacing w:after="0" w:line="240" w:lineRule="auto"/>
              <w:ind w:right="-613"/>
              <w:rPr>
                <w:rFonts w:ascii="Arial" w:eastAsia="Calibri" w:hAnsi="Arial" w:cs="Arial"/>
                <w:b/>
                <w:caps/>
                <w:sz w:val="24"/>
                <w:szCs w:val="24"/>
              </w:rPr>
            </w:pPr>
          </w:p>
        </w:tc>
      </w:tr>
    </w:tbl>
    <w:p w14:paraId="0F4A93B7" w14:textId="77777777" w:rsidR="00C96ED7" w:rsidRDefault="00C96ED7" w:rsidP="000301DC">
      <w:pPr>
        <w:spacing w:after="0" w:line="240" w:lineRule="auto"/>
        <w:rPr>
          <w:rFonts w:ascii="Arial" w:hAnsi="Arial" w:cs="Arial"/>
          <w:sz w:val="24"/>
          <w:szCs w:val="24"/>
        </w:rPr>
      </w:pPr>
    </w:p>
    <w:p w14:paraId="7C4DCA11" w14:textId="77777777" w:rsidR="0098179D" w:rsidRPr="0098179D" w:rsidRDefault="0098179D" w:rsidP="0098179D">
      <w:pPr>
        <w:spacing w:after="0" w:line="240" w:lineRule="auto"/>
        <w:ind w:firstLine="1134"/>
        <w:jc w:val="both"/>
        <w:rPr>
          <w:rFonts w:ascii="Arial" w:hAnsi="Arial" w:cs="Arial"/>
          <w:sz w:val="24"/>
          <w:szCs w:val="24"/>
        </w:rPr>
      </w:pPr>
      <w:r w:rsidRPr="0098179D">
        <w:rPr>
          <w:rFonts w:ascii="Arial" w:hAnsi="Arial" w:cs="Arial"/>
          <w:sz w:val="24"/>
          <w:szCs w:val="24"/>
        </w:rPr>
        <w:t>Alytaus miesto savivaldybės administracijos viešųjų pirkimų komisija (toliau – komisija), vykdydama supaprastinto viešojo pirkimo „Renginių salės apšvietimo ir garso įrenginiai su montavimu“ atvirą konkursą, 2025-12-11 posėdžio metu išnagrinėjo 2025-12-08 centrinės viešųjų pirkimų informacinės sistemos (toliau – CVP IS) priemonėmis gautą tiekėjo pranešimą ID464311 „Prašymai“ ir vadovaudamasi Lietuvos Respublikos viešųjų pirkimų įstatymo (toliau – Viešųjų pirkimų įstatymas) 36 str. 5 d. bei komisijos 2025-12-05 posėdžio protokolu Nr. VP-719 patvirtintų supaprastinto viešojo pirkimo „Renginių salės apšvietimo ir garso įrenginiai su montavimu“ atviro konkurso bendrųjų sąlygų (toliau – bendrosios pirkimo sąlygos) 5.2 p. ir specialiosiomis sąlygomis (toliau - specialiosios pirkimo sąlygos), bei teikia atsakymą:</w:t>
      </w:r>
    </w:p>
    <w:p w14:paraId="4F4DE9BB" w14:textId="77777777" w:rsidR="0098179D" w:rsidRPr="0098179D" w:rsidRDefault="0098179D" w:rsidP="0098179D">
      <w:pPr>
        <w:spacing w:after="0" w:line="240" w:lineRule="auto"/>
        <w:ind w:firstLine="1134"/>
        <w:jc w:val="both"/>
        <w:rPr>
          <w:rFonts w:ascii="Arial" w:hAnsi="Arial" w:cs="Arial"/>
          <w:b/>
          <w:bCs/>
          <w:sz w:val="24"/>
          <w:szCs w:val="24"/>
        </w:rPr>
      </w:pPr>
      <w:r w:rsidRPr="0098179D">
        <w:rPr>
          <w:rFonts w:ascii="Arial" w:hAnsi="Arial" w:cs="Arial"/>
          <w:b/>
          <w:bCs/>
          <w:sz w:val="24"/>
          <w:szCs w:val="24"/>
        </w:rPr>
        <w:t>Klausimas:</w:t>
      </w:r>
    </w:p>
    <w:p w14:paraId="7B0C9900" w14:textId="77777777" w:rsidR="0098179D" w:rsidRPr="0098179D" w:rsidRDefault="0098179D" w:rsidP="0098179D">
      <w:pPr>
        <w:spacing w:after="0" w:line="240" w:lineRule="auto"/>
        <w:ind w:firstLine="1134"/>
        <w:jc w:val="both"/>
        <w:rPr>
          <w:rFonts w:ascii="Arial" w:hAnsi="Arial" w:cs="Arial"/>
          <w:sz w:val="24"/>
          <w:szCs w:val="24"/>
        </w:rPr>
      </w:pPr>
      <w:r w:rsidRPr="0098179D">
        <w:rPr>
          <w:rFonts w:ascii="Arial" w:hAnsi="Arial" w:cs="Arial"/>
          <w:sz w:val="24"/>
          <w:szCs w:val="24"/>
        </w:rPr>
        <w:t>„Prašome pateikti montavimo darbams ir medžiagoms reikalingus duomenis - planus, aktualias patalpų nuotraukas, preliminarias montavimo vietas ir pan.“</w:t>
      </w:r>
    </w:p>
    <w:p w14:paraId="2D568EAF" w14:textId="77777777" w:rsidR="0098179D" w:rsidRPr="0098179D" w:rsidRDefault="0098179D" w:rsidP="0098179D">
      <w:pPr>
        <w:spacing w:after="0" w:line="240" w:lineRule="auto"/>
        <w:ind w:firstLine="1134"/>
        <w:jc w:val="both"/>
        <w:rPr>
          <w:rFonts w:ascii="Arial" w:hAnsi="Arial" w:cs="Arial"/>
          <w:b/>
          <w:bCs/>
          <w:sz w:val="24"/>
          <w:szCs w:val="24"/>
        </w:rPr>
      </w:pPr>
      <w:r w:rsidRPr="0098179D">
        <w:rPr>
          <w:rFonts w:ascii="Arial" w:hAnsi="Arial" w:cs="Arial"/>
          <w:b/>
          <w:bCs/>
          <w:sz w:val="24"/>
          <w:szCs w:val="24"/>
        </w:rPr>
        <w:t>Atsakymas:</w:t>
      </w:r>
    </w:p>
    <w:p w14:paraId="6CACA8D0" w14:textId="77777777" w:rsidR="0098179D" w:rsidRPr="0098179D" w:rsidRDefault="0098179D" w:rsidP="0098179D">
      <w:pPr>
        <w:spacing w:after="0" w:line="240" w:lineRule="auto"/>
        <w:ind w:firstLine="1134"/>
        <w:jc w:val="both"/>
        <w:rPr>
          <w:rFonts w:ascii="Arial" w:hAnsi="Arial" w:cs="Arial"/>
          <w:sz w:val="24"/>
          <w:szCs w:val="24"/>
        </w:rPr>
      </w:pPr>
      <w:r w:rsidRPr="0098179D">
        <w:rPr>
          <w:rFonts w:ascii="Arial" w:hAnsi="Arial" w:cs="Arial"/>
          <w:sz w:val="24"/>
          <w:szCs w:val="24"/>
        </w:rPr>
        <w:t>Vadovaujantis specialiųjų pirkimo sąlygų 4 priedo „Techninė specifikacija“ lentelės 20.1 ir 20.3 punktais, tiekėjas yra atsakingas už apšvietimo tvirtinimo sistemos suprojektavimą ir pagaminimą bei privalo suderinti siūlomos apšvietimo ir akustinės sistemų montavimo vietas su perkančiąja organizacija.</w:t>
      </w:r>
    </w:p>
    <w:p w14:paraId="36D51A37" w14:textId="77777777" w:rsidR="0098179D" w:rsidRPr="0098179D" w:rsidRDefault="0098179D" w:rsidP="0098179D">
      <w:pPr>
        <w:spacing w:after="0" w:line="240" w:lineRule="auto"/>
        <w:ind w:firstLine="1134"/>
        <w:jc w:val="both"/>
        <w:rPr>
          <w:rFonts w:ascii="Arial" w:hAnsi="Arial" w:cs="Arial"/>
          <w:sz w:val="24"/>
          <w:szCs w:val="24"/>
        </w:rPr>
      </w:pPr>
      <w:r w:rsidRPr="0098179D">
        <w:rPr>
          <w:rFonts w:ascii="Arial" w:hAnsi="Arial" w:cs="Arial"/>
          <w:sz w:val="24"/>
          <w:szCs w:val="24"/>
        </w:rPr>
        <w:t>Šiuo metu perkančioji organizacija nėra numačiusi galutinių tvirtinimo vietų. Tikimasi, kad tiekėjai, remdamiesi savo profesionaliomis kompetencijomis, pateiks siūlomas įrangos montavimo vietas, pagrįs savo sprendinius ir suderins juos su perkančiąja organizacija, kaip numatyta pirkimo sąlygose.</w:t>
      </w:r>
    </w:p>
    <w:p w14:paraId="285B8420" w14:textId="77777777" w:rsidR="0098179D" w:rsidRPr="0098179D" w:rsidRDefault="0098179D" w:rsidP="0098179D">
      <w:pPr>
        <w:spacing w:after="0" w:line="240" w:lineRule="auto"/>
        <w:ind w:firstLine="1134"/>
        <w:jc w:val="both"/>
        <w:rPr>
          <w:rFonts w:ascii="Arial" w:hAnsi="Arial" w:cs="Arial"/>
          <w:sz w:val="24"/>
          <w:szCs w:val="24"/>
        </w:rPr>
      </w:pPr>
      <w:r w:rsidRPr="0098179D">
        <w:rPr>
          <w:rFonts w:ascii="Arial" w:hAnsi="Arial" w:cs="Arial"/>
          <w:sz w:val="24"/>
          <w:szCs w:val="24"/>
        </w:rPr>
        <w:t>Tiekėjas taip pat privalo savarankiškai įvertinti su projektavimu, tvirtinimo sistemos parinkimu, gamyba ir montavimo sprendimais susijusius kaštus bei įtraukti juos į savo pasiūlymą.</w:t>
      </w:r>
    </w:p>
    <w:p w14:paraId="59E898CA" w14:textId="77777777" w:rsidR="0098179D" w:rsidRPr="0098179D" w:rsidRDefault="0098179D" w:rsidP="0098179D">
      <w:pPr>
        <w:spacing w:after="0" w:line="240" w:lineRule="auto"/>
        <w:ind w:firstLine="1134"/>
        <w:jc w:val="both"/>
        <w:rPr>
          <w:rFonts w:ascii="Arial" w:hAnsi="Arial" w:cs="Arial"/>
          <w:sz w:val="24"/>
          <w:szCs w:val="24"/>
        </w:rPr>
      </w:pPr>
      <w:r w:rsidRPr="0098179D">
        <w:rPr>
          <w:rFonts w:ascii="Arial" w:hAnsi="Arial" w:cs="Arial"/>
          <w:sz w:val="24"/>
          <w:szCs w:val="24"/>
        </w:rPr>
        <w:t>Pridedame salės planą ir aktualias patalpų nuotraukas.</w:t>
      </w:r>
    </w:p>
    <w:p w14:paraId="1A7C3130" w14:textId="77777777" w:rsidR="0098179D" w:rsidRDefault="0098179D" w:rsidP="000301DC">
      <w:pPr>
        <w:spacing w:after="0" w:line="240" w:lineRule="auto"/>
        <w:rPr>
          <w:rFonts w:ascii="Arial" w:hAnsi="Arial" w:cs="Arial"/>
          <w:sz w:val="24"/>
          <w:szCs w:val="24"/>
        </w:rPr>
      </w:pPr>
    </w:p>
    <w:p w14:paraId="23613F11" w14:textId="77777777" w:rsidR="0098179D" w:rsidRDefault="0098179D" w:rsidP="000301DC">
      <w:pPr>
        <w:spacing w:after="0" w:line="240" w:lineRule="auto"/>
        <w:rPr>
          <w:rFonts w:ascii="Arial" w:hAnsi="Arial" w:cs="Arial"/>
          <w:sz w:val="24"/>
          <w:szCs w:val="24"/>
        </w:rPr>
      </w:pPr>
    </w:p>
    <w:p w14:paraId="2E858F20" w14:textId="6CDDF7E6" w:rsidR="000301DC" w:rsidRPr="008E7157" w:rsidRDefault="000301DC" w:rsidP="000301DC">
      <w:pPr>
        <w:spacing w:after="0" w:line="240" w:lineRule="auto"/>
        <w:rPr>
          <w:rFonts w:ascii="Arial" w:hAnsi="Arial" w:cs="Arial"/>
          <w:sz w:val="24"/>
          <w:szCs w:val="24"/>
        </w:rPr>
      </w:pPr>
      <w:r>
        <w:rPr>
          <w:rFonts w:ascii="Arial" w:hAnsi="Arial" w:cs="Arial"/>
          <w:sz w:val="24"/>
          <w:szCs w:val="24"/>
        </w:rPr>
        <w:t>Viešųjų pirkimų skyriaus vedėja</w:t>
      </w:r>
      <w:r>
        <w:rPr>
          <w:rFonts w:ascii="Arial" w:hAnsi="Arial" w:cs="Arial"/>
          <w:sz w:val="24"/>
          <w:szCs w:val="24"/>
        </w:rPr>
        <w:tab/>
      </w:r>
      <w:r>
        <w:rPr>
          <w:rFonts w:ascii="Arial" w:hAnsi="Arial" w:cs="Arial"/>
          <w:sz w:val="24"/>
          <w:szCs w:val="24"/>
        </w:rPr>
        <w:tab/>
      </w:r>
      <w:r>
        <w:rPr>
          <w:rFonts w:ascii="Arial" w:hAnsi="Arial" w:cs="Arial"/>
          <w:sz w:val="24"/>
          <w:szCs w:val="24"/>
        </w:rPr>
        <w:tab/>
        <w:t>Jurgita Kazilionienė</w:t>
      </w:r>
    </w:p>
    <w:p w14:paraId="10AEF6F7" w14:textId="77777777" w:rsidR="004B06C3" w:rsidRDefault="004B06C3"/>
    <w:sectPr w:rsidR="004B06C3" w:rsidSect="0098179D">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C24D24"/>
    <w:multiLevelType w:val="hybridMultilevel"/>
    <w:tmpl w:val="18A0F172"/>
    <w:lvl w:ilvl="0" w:tplc="6238881C">
      <w:start w:val="1"/>
      <w:numFmt w:val="decimal"/>
      <w:lvlText w:val="%1."/>
      <w:lvlJc w:val="left"/>
      <w:pPr>
        <w:ind w:left="1494" w:hanging="360"/>
      </w:pPr>
      <w:rPr>
        <w:rFonts w:hint="default"/>
        <w:b w:val="0"/>
        <w:bCs w:val="0"/>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num w:numId="1" w16cid:durableId="13565447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1DC"/>
    <w:rsid w:val="000301DC"/>
    <w:rsid w:val="000604C2"/>
    <w:rsid w:val="00274F8A"/>
    <w:rsid w:val="004B06C3"/>
    <w:rsid w:val="005915B0"/>
    <w:rsid w:val="0092174A"/>
    <w:rsid w:val="0098179D"/>
    <w:rsid w:val="00B93366"/>
    <w:rsid w:val="00C96ED7"/>
    <w:rsid w:val="00EB45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08DAB"/>
  <w15:chartTrackingRefBased/>
  <w15:docId w15:val="{32B1F603-DE48-41E6-A981-4BAA5A06D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301DC"/>
  </w:style>
  <w:style w:type="paragraph" w:styleId="Antrat1">
    <w:name w:val="heading 1"/>
    <w:basedOn w:val="prastasis"/>
    <w:next w:val="prastasis"/>
    <w:link w:val="Antrat1Diagrama"/>
    <w:uiPriority w:val="9"/>
    <w:qFormat/>
    <w:rsid w:val="000301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0301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0301DC"/>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0301DC"/>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301DC"/>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0301D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301D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301D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301D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301DC"/>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301DC"/>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301DC"/>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301DC"/>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301DC"/>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301D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301D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301D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301DC"/>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301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301D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301DC"/>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301D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301D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301DC"/>
    <w:rPr>
      <w:i/>
      <w:iCs/>
      <w:color w:val="404040" w:themeColor="text1" w:themeTint="BF"/>
    </w:rPr>
  </w:style>
  <w:style w:type="paragraph" w:styleId="Sraopastraipa">
    <w:name w:val="List Paragraph"/>
    <w:basedOn w:val="prastasis"/>
    <w:uiPriority w:val="34"/>
    <w:qFormat/>
    <w:rsid w:val="000301DC"/>
    <w:pPr>
      <w:ind w:left="720"/>
      <w:contextualSpacing/>
    </w:pPr>
  </w:style>
  <w:style w:type="character" w:styleId="Rykuspabraukimas">
    <w:name w:val="Intense Emphasis"/>
    <w:basedOn w:val="Numatytasispastraiposriftas"/>
    <w:uiPriority w:val="21"/>
    <w:qFormat/>
    <w:rsid w:val="000301DC"/>
    <w:rPr>
      <w:i/>
      <w:iCs/>
      <w:color w:val="2F5496" w:themeColor="accent1" w:themeShade="BF"/>
    </w:rPr>
  </w:style>
  <w:style w:type="paragraph" w:styleId="Iskirtacitata">
    <w:name w:val="Intense Quote"/>
    <w:basedOn w:val="prastasis"/>
    <w:next w:val="prastasis"/>
    <w:link w:val="IskirtacitataDiagrama"/>
    <w:uiPriority w:val="30"/>
    <w:qFormat/>
    <w:rsid w:val="000301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301DC"/>
    <w:rPr>
      <w:i/>
      <w:iCs/>
      <w:color w:val="2F5496" w:themeColor="accent1" w:themeShade="BF"/>
    </w:rPr>
  </w:style>
  <w:style w:type="character" w:styleId="Rykinuoroda">
    <w:name w:val="Intense Reference"/>
    <w:basedOn w:val="Numatytasispastraiposriftas"/>
    <w:uiPriority w:val="32"/>
    <w:qFormat/>
    <w:rsid w:val="000301D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1419</Words>
  <Characters>809</Characters>
  <Application>Microsoft Office Word</Application>
  <DocSecurity>0</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Kazilionienė</dc:creator>
  <cp:keywords/>
  <dc:description/>
  <cp:lastModifiedBy>Jurgita Kazilionienė</cp:lastModifiedBy>
  <cp:revision>3</cp:revision>
  <dcterms:created xsi:type="dcterms:W3CDTF">2025-12-11T08:16:00Z</dcterms:created>
  <dcterms:modified xsi:type="dcterms:W3CDTF">2025-12-11T12:19:00Z</dcterms:modified>
</cp:coreProperties>
</file>